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848" w:right="0" w:firstLine="0"/>
        <w:rPr>
          <w:rFonts w:ascii="Times New Roman"/>
          <w:sz w:val="20"/>
        </w:rPr>
      </w:pPr>
      <w:r>
        <w:rPr>
          <w:rFonts w:ascii="Times New Roman"/>
          <w:sz w:val="20"/>
        </w:rPr>
        <w:drawing>
          <wp:inline distT="0" distB="0" distL="0" distR="0">
            <wp:extent cx="1577867" cy="416051"/>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577867" cy="416051"/>
                    </a:xfrm>
                    <a:prstGeom prst="rect">
                      <a:avLst/>
                    </a:prstGeom>
                  </pic:spPr>
                </pic:pic>
              </a:graphicData>
            </a:graphic>
          </wp:inline>
        </w:drawing>
      </w:r>
      <w:r>
        <w:rPr>
          <w:rFonts w:ascii="Times New Roman"/>
          <w:sz w:val="20"/>
        </w:rPr>
      </w:r>
    </w:p>
    <w:p>
      <w:pPr>
        <w:pStyle w:val="BodyText"/>
        <w:spacing w:before="94"/>
        <w:rPr>
          <w:rFonts w:ascii="Times New Roman"/>
        </w:rPr>
      </w:pPr>
    </w:p>
    <w:p>
      <w:pPr>
        <w:pStyle w:val="Heading1"/>
        <w:spacing w:line="477" w:lineRule="auto"/>
      </w:pPr>
      <w:r>
        <w:rPr/>
        <w:t>Marshall</w:t>
      </w:r>
      <w:r>
        <w:rPr>
          <w:spacing w:val="-13"/>
        </w:rPr>
        <w:t> </w:t>
      </w:r>
      <w:r>
        <w:rPr/>
        <w:t>Aid</w:t>
      </w:r>
      <w:r>
        <w:rPr>
          <w:spacing w:val="-13"/>
        </w:rPr>
        <w:t> </w:t>
      </w:r>
      <w:r>
        <w:rPr/>
        <w:t>Commemoration</w:t>
      </w:r>
      <w:r>
        <w:rPr>
          <w:spacing w:val="-12"/>
        </w:rPr>
        <w:t> </w:t>
      </w:r>
      <w:r>
        <w:rPr/>
        <w:t>Commission Scholar Code of Conduct</w:t>
      </w:r>
    </w:p>
    <w:p>
      <w:pPr>
        <w:pStyle w:val="BodyText"/>
        <w:spacing w:before="3"/>
        <w:ind w:left="140" w:right="139"/>
        <w:jc w:val="both"/>
      </w:pPr>
      <w:r>
        <w:rPr/>
        <w:t>As a Marshall Scholar or Scholar Elect (offer-holder), you are an ambassador for both the Marshall Aid Commemoration</w:t>
      </w:r>
      <w:r>
        <w:rPr>
          <w:spacing w:val="-6"/>
        </w:rPr>
        <w:t> </w:t>
      </w:r>
      <w:r>
        <w:rPr/>
        <w:t>Commission</w:t>
      </w:r>
      <w:r>
        <w:rPr>
          <w:spacing w:val="-6"/>
        </w:rPr>
        <w:t> </w:t>
      </w:r>
      <w:r>
        <w:rPr/>
        <w:t>(MACC)</w:t>
      </w:r>
      <w:r>
        <w:rPr>
          <w:spacing w:val="-4"/>
        </w:rPr>
        <w:t> </w:t>
      </w:r>
      <w:r>
        <w:rPr/>
        <w:t>and</w:t>
      </w:r>
      <w:r>
        <w:rPr>
          <w:spacing w:val="-6"/>
        </w:rPr>
        <w:t> </w:t>
      </w:r>
      <w:r>
        <w:rPr/>
        <w:t>the</w:t>
      </w:r>
      <w:r>
        <w:rPr>
          <w:spacing w:val="-6"/>
        </w:rPr>
        <w:t> </w:t>
      </w:r>
      <w:r>
        <w:rPr/>
        <w:t>United</w:t>
      </w:r>
      <w:r>
        <w:rPr>
          <w:spacing w:val="-3"/>
        </w:rPr>
        <w:t> </w:t>
      </w:r>
      <w:r>
        <w:rPr/>
        <w:t>States</w:t>
      </w:r>
      <w:r>
        <w:rPr>
          <w:spacing w:val="-5"/>
        </w:rPr>
        <w:t> </w:t>
      </w:r>
      <w:r>
        <w:rPr/>
        <w:t>of</w:t>
      </w:r>
      <w:r>
        <w:rPr>
          <w:spacing w:val="-6"/>
        </w:rPr>
        <w:t> </w:t>
      </w:r>
      <w:r>
        <w:rPr/>
        <w:t>America,</w:t>
      </w:r>
      <w:r>
        <w:rPr>
          <w:spacing w:val="-6"/>
        </w:rPr>
        <w:t> </w:t>
      </w:r>
      <w:r>
        <w:rPr/>
        <w:t>and</w:t>
      </w:r>
      <w:r>
        <w:rPr>
          <w:spacing w:val="-6"/>
        </w:rPr>
        <w:t> </w:t>
      </w:r>
      <w:r>
        <w:rPr/>
        <w:t>your</w:t>
      </w:r>
      <w:r>
        <w:rPr>
          <w:spacing w:val="-5"/>
        </w:rPr>
        <w:t> </w:t>
      </w:r>
      <w:r>
        <w:rPr/>
        <w:t>actions</w:t>
      </w:r>
      <w:r>
        <w:rPr>
          <w:spacing w:val="-4"/>
        </w:rPr>
        <w:t> </w:t>
      </w:r>
      <w:r>
        <w:rPr/>
        <w:t>and</w:t>
      </w:r>
      <w:r>
        <w:rPr>
          <w:spacing w:val="-6"/>
        </w:rPr>
        <w:t> </w:t>
      </w:r>
      <w:r>
        <w:rPr/>
        <w:t>remarks</w:t>
      </w:r>
      <w:r>
        <w:rPr>
          <w:spacing w:val="-4"/>
        </w:rPr>
        <w:t> </w:t>
      </w:r>
      <w:r>
        <w:rPr/>
        <w:t>will</w:t>
      </w:r>
      <w:r>
        <w:rPr>
          <w:spacing w:val="-6"/>
        </w:rPr>
        <w:t> </w:t>
      </w:r>
      <w:r>
        <w:rPr/>
        <w:t>have</w:t>
      </w:r>
      <w:r>
        <w:rPr>
          <w:spacing w:val="-6"/>
        </w:rPr>
        <w:t> </w:t>
      </w:r>
      <w:r>
        <w:rPr/>
        <w:t>an impact on the reputation of both. You are therefore expected to adhere to high standards of conduct and behaviour and to always show respect to others and your surroundings. It should be noted that you will also be expected to comply</w:t>
      </w:r>
      <w:r>
        <w:rPr>
          <w:spacing w:val="-2"/>
        </w:rPr>
        <w:t> </w:t>
      </w:r>
      <w:r>
        <w:rPr/>
        <w:t>with</w:t>
      </w:r>
      <w:r>
        <w:rPr>
          <w:spacing w:val="-6"/>
        </w:rPr>
        <w:t> </w:t>
      </w:r>
      <w:r>
        <w:rPr/>
        <w:t>your</w:t>
      </w:r>
      <w:r>
        <w:rPr>
          <w:spacing w:val="-3"/>
        </w:rPr>
        <w:t> </w:t>
      </w:r>
      <w:r>
        <w:rPr/>
        <w:t>university’s</w:t>
      </w:r>
      <w:r>
        <w:rPr>
          <w:spacing w:val="-4"/>
        </w:rPr>
        <w:t> </w:t>
      </w:r>
      <w:r>
        <w:rPr/>
        <w:t>regulations</w:t>
      </w:r>
      <w:r>
        <w:rPr>
          <w:spacing w:val="-2"/>
        </w:rPr>
        <w:t> </w:t>
      </w:r>
      <w:r>
        <w:rPr/>
        <w:t>on</w:t>
      </w:r>
      <w:r>
        <w:rPr>
          <w:spacing w:val="-4"/>
        </w:rPr>
        <w:t> </w:t>
      </w:r>
      <w:r>
        <w:rPr/>
        <w:t>conduct</w:t>
      </w:r>
      <w:r>
        <w:rPr>
          <w:spacing w:val="-3"/>
        </w:rPr>
        <w:t> </w:t>
      </w:r>
      <w:r>
        <w:rPr/>
        <w:t>and</w:t>
      </w:r>
      <w:r>
        <w:rPr>
          <w:spacing w:val="-6"/>
        </w:rPr>
        <w:t> </w:t>
      </w:r>
      <w:r>
        <w:rPr/>
        <w:t>will</w:t>
      </w:r>
      <w:r>
        <w:rPr>
          <w:spacing w:val="-4"/>
        </w:rPr>
        <w:t> </w:t>
      </w:r>
      <w:r>
        <w:rPr/>
        <w:t>be</w:t>
      </w:r>
      <w:r>
        <w:rPr>
          <w:spacing w:val="-4"/>
        </w:rPr>
        <w:t> </w:t>
      </w:r>
      <w:r>
        <w:rPr/>
        <w:t>subject</w:t>
      </w:r>
      <w:r>
        <w:rPr>
          <w:spacing w:val="-3"/>
        </w:rPr>
        <w:t> </w:t>
      </w:r>
      <w:r>
        <w:rPr/>
        <w:t>to</w:t>
      </w:r>
      <w:r>
        <w:rPr>
          <w:spacing w:val="-4"/>
        </w:rPr>
        <w:t> </w:t>
      </w:r>
      <w:r>
        <w:rPr/>
        <w:t>their</w:t>
      </w:r>
      <w:r>
        <w:rPr>
          <w:spacing w:val="-2"/>
        </w:rPr>
        <w:t> </w:t>
      </w:r>
      <w:r>
        <w:rPr/>
        <w:t>policies</w:t>
      </w:r>
      <w:r>
        <w:rPr>
          <w:spacing w:val="-5"/>
        </w:rPr>
        <w:t> </w:t>
      </w:r>
      <w:r>
        <w:rPr/>
        <w:t>and</w:t>
      </w:r>
      <w:r>
        <w:rPr>
          <w:spacing w:val="-4"/>
        </w:rPr>
        <w:t> </w:t>
      </w:r>
      <w:r>
        <w:rPr/>
        <w:t>procedures.</w:t>
      </w:r>
      <w:r>
        <w:rPr>
          <w:spacing w:val="-5"/>
        </w:rPr>
        <w:t> </w:t>
      </w:r>
      <w:r>
        <w:rPr/>
        <w:t>The</w:t>
      </w:r>
      <w:r>
        <w:rPr>
          <w:spacing w:val="-1"/>
        </w:rPr>
        <w:t> </w:t>
      </w:r>
      <w:r>
        <w:rPr/>
        <w:t>MACC works closely with the universities in requiring the highest</w:t>
      </w:r>
      <w:r>
        <w:rPr>
          <w:spacing w:val="-1"/>
        </w:rPr>
        <w:t> </w:t>
      </w:r>
      <w:r>
        <w:rPr/>
        <w:t>standards of conduct and probity, on the part of staff and faculty, as well as students.</w:t>
      </w:r>
    </w:p>
    <w:p>
      <w:pPr>
        <w:pStyle w:val="BodyText"/>
        <w:spacing w:before="229"/>
        <w:ind w:left="140" w:right="138"/>
        <w:jc w:val="both"/>
      </w:pPr>
      <w:r>
        <w:rPr/>
        <w:t>The Marshall Commission aims to enable a free exchange of ideas during all its activities to achieve the maximum potential</w:t>
      </w:r>
      <w:r>
        <w:rPr>
          <w:spacing w:val="-7"/>
        </w:rPr>
        <w:t> </w:t>
      </w:r>
      <w:r>
        <w:rPr/>
        <w:t>impact</w:t>
      </w:r>
      <w:r>
        <w:rPr>
          <w:spacing w:val="-8"/>
        </w:rPr>
        <w:t> </w:t>
      </w:r>
      <w:r>
        <w:rPr/>
        <w:t>for</w:t>
      </w:r>
      <w:r>
        <w:rPr>
          <w:spacing w:val="-7"/>
        </w:rPr>
        <w:t> </w:t>
      </w:r>
      <w:r>
        <w:rPr/>
        <w:t>all</w:t>
      </w:r>
      <w:r>
        <w:rPr>
          <w:spacing w:val="-6"/>
        </w:rPr>
        <w:t> </w:t>
      </w:r>
      <w:r>
        <w:rPr/>
        <w:t>participants.</w:t>
      </w:r>
      <w:r>
        <w:rPr>
          <w:spacing w:val="-6"/>
        </w:rPr>
        <w:t> </w:t>
      </w:r>
      <w:r>
        <w:rPr/>
        <w:t>Recognising</w:t>
      </w:r>
      <w:r>
        <w:rPr>
          <w:spacing w:val="-6"/>
        </w:rPr>
        <w:t> </w:t>
      </w:r>
      <w:r>
        <w:rPr/>
        <w:t>the</w:t>
      </w:r>
      <w:r>
        <w:rPr>
          <w:spacing w:val="-6"/>
        </w:rPr>
        <w:t> </w:t>
      </w:r>
      <w:r>
        <w:rPr/>
        <w:t>diversity</w:t>
      </w:r>
      <w:r>
        <w:rPr>
          <w:spacing w:val="-7"/>
        </w:rPr>
        <w:t> </w:t>
      </w:r>
      <w:r>
        <w:rPr/>
        <w:t>of</w:t>
      </w:r>
      <w:r>
        <w:rPr>
          <w:spacing w:val="-8"/>
        </w:rPr>
        <w:t> </w:t>
      </w:r>
      <w:r>
        <w:rPr/>
        <w:t>backgrounds,</w:t>
      </w:r>
      <w:r>
        <w:rPr>
          <w:spacing w:val="-8"/>
        </w:rPr>
        <w:t> </w:t>
      </w:r>
      <w:r>
        <w:rPr/>
        <w:t>experiences,</w:t>
      </w:r>
      <w:r>
        <w:rPr>
          <w:spacing w:val="-6"/>
        </w:rPr>
        <w:t> </w:t>
      </w:r>
      <w:r>
        <w:rPr/>
        <w:t>and</w:t>
      </w:r>
      <w:r>
        <w:rPr>
          <w:spacing w:val="-8"/>
        </w:rPr>
        <w:t> </w:t>
      </w:r>
      <w:r>
        <w:rPr/>
        <w:t>perspectives</w:t>
      </w:r>
      <w:r>
        <w:rPr>
          <w:spacing w:val="-5"/>
        </w:rPr>
        <w:t> </w:t>
      </w:r>
      <w:r>
        <w:rPr/>
        <w:t>among our</w:t>
      </w:r>
      <w:r>
        <w:rPr>
          <w:spacing w:val="-9"/>
        </w:rPr>
        <w:t> </w:t>
      </w:r>
      <w:r>
        <w:rPr/>
        <w:t>award</w:t>
      </w:r>
      <w:r>
        <w:rPr>
          <w:spacing w:val="-8"/>
        </w:rPr>
        <w:t> </w:t>
      </w:r>
      <w:r>
        <w:rPr/>
        <w:t>holders,</w:t>
      </w:r>
      <w:r>
        <w:rPr>
          <w:spacing w:val="-10"/>
        </w:rPr>
        <w:t> </w:t>
      </w:r>
      <w:r>
        <w:rPr/>
        <w:t>Scholars</w:t>
      </w:r>
      <w:r>
        <w:rPr>
          <w:spacing w:val="-9"/>
        </w:rPr>
        <w:t> </w:t>
      </w:r>
      <w:r>
        <w:rPr/>
        <w:t>are</w:t>
      </w:r>
      <w:r>
        <w:rPr>
          <w:spacing w:val="-10"/>
        </w:rPr>
        <w:t> </w:t>
      </w:r>
      <w:r>
        <w:rPr/>
        <w:t>reminded</w:t>
      </w:r>
      <w:r>
        <w:rPr>
          <w:spacing w:val="-10"/>
        </w:rPr>
        <w:t> </w:t>
      </w:r>
      <w:r>
        <w:rPr/>
        <w:t>to</w:t>
      </w:r>
      <w:r>
        <w:rPr>
          <w:spacing w:val="-8"/>
        </w:rPr>
        <w:t> </w:t>
      </w:r>
      <w:r>
        <w:rPr/>
        <w:t>always</w:t>
      </w:r>
      <w:r>
        <w:rPr>
          <w:spacing w:val="-9"/>
        </w:rPr>
        <w:t> </w:t>
      </w:r>
      <w:r>
        <w:rPr/>
        <w:t>be</w:t>
      </w:r>
      <w:r>
        <w:rPr>
          <w:spacing w:val="-10"/>
        </w:rPr>
        <w:t> </w:t>
      </w:r>
      <w:r>
        <w:rPr/>
        <w:t>respectful</w:t>
      </w:r>
      <w:r>
        <w:rPr>
          <w:spacing w:val="-9"/>
        </w:rPr>
        <w:t> </w:t>
      </w:r>
      <w:r>
        <w:rPr/>
        <w:t>to</w:t>
      </w:r>
      <w:r>
        <w:rPr>
          <w:spacing w:val="-8"/>
        </w:rPr>
        <w:t> </w:t>
      </w:r>
      <w:r>
        <w:rPr/>
        <w:t>others</w:t>
      </w:r>
      <w:r>
        <w:rPr>
          <w:spacing w:val="-9"/>
        </w:rPr>
        <w:t> </w:t>
      </w:r>
      <w:r>
        <w:rPr/>
        <w:t>and</w:t>
      </w:r>
      <w:r>
        <w:rPr>
          <w:spacing w:val="-9"/>
        </w:rPr>
        <w:t> </w:t>
      </w:r>
      <w:r>
        <w:rPr/>
        <w:t>to</w:t>
      </w:r>
      <w:r>
        <w:rPr>
          <w:spacing w:val="-8"/>
        </w:rPr>
        <w:t> </w:t>
      </w:r>
      <w:r>
        <w:rPr/>
        <w:t>behave</w:t>
      </w:r>
      <w:r>
        <w:rPr>
          <w:spacing w:val="-8"/>
        </w:rPr>
        <w:t> </w:t>
      </w:r>
      <w:r>
        <w:rPr/>
        <w:t>in</w:t>
      </w:r>
      <w:r>
        <w:rPr>
          <w:spacing w:val="-8"/>
        </w:rPr>
        <w:t> </w:t>
      </w:r>
      <w:r>
        <w:rPr/>
        <w:t>an</w:t>
      </w:r>
      <w:r>
        <w:rPr>
          <w:spacing w:val="-8"/>
        </w:rPr>
        <w:t> </w:t>
      </w:r>
      <w:r>
        <w:rPr/>
        <w:t>appropriate</w:t>
      </w:r>
      <w:r>
        <w:rPr>
          <w:spacing w:val="-6"/>
        </w:rPr>
        <w:t> </w:t>
      </w:r>
      <w:r>
        <w:rPr/>
        <w:t>manner. Discriminatory comments, behaviour or harassment will not be tolerated. Please familiarise yourself with discrimination and protected characteristics under UK law as outlined in the </w:t>
      </w:r>
      <w:hyperlink r:id="rId7">
        <w:r>
          <w:rPr>
            <w:color w:val="0000FF"/>
            <w:u w:val="single" w:color="0000FF"/>
          </w:rPr>
          <w:t>UK’s Equality Act 2010</w:t>
        </w:r>
      </w:hyperlink>
      <w:r>
        <w:rPr>
          <w:color w:val="0000FF"/>
          <w:u w:val="none"/>
        </w:rPr>
        <w:t> </w:t>
      </w:r>
      <w:r>
        <w:rPr>
          <w:u w:val="none"/>
        </w:rPr>
        <w:t>and the</w:t>
      </w:r>
      <w:hyperlink r:id="rId8">
        <w:r>
          <w:rPr>
            <w:color w:val="0000FF"/>
            <w:u w:val="single" w:color="0000FF"/>
          </w:rPr>
          <w:t> UK’s</w:t>
        </w:r>
      </w:hyperlink>
      <w:r>
        <w:rPr>
          <w:color w:val="0000FF"/>
          <w:u w:val="none"/>
        </w:rPr>
        <w:t> </w:t>
      </w:r>
      <w:hyperlink r:id="rId8">
        <w:r>
          <w:rPr>
            <w:color w:val="0000FF"/>
            <w:u w:val="single" w:color="0000FF"/>
          </w:rPr>
          <w:t>Higher Education</w:t>
        </w:r>
        <w:r>
          <w:rPr>
            <w:color w:val="0000FF"/>
            <w:spacing w:val="-1"/>
            <w:u w:val="single" w:color="0000FF"/>
          </w:rPr>
          <w:t> </w:t>
        </w:r>
        <w:r>
          <w:rPr>
            <w:color w:val="0000FF"/>
            <w:u w:val="single" w:color="0000FF"/>
          </w:rPr>
          <w:t>Freedom of Speech Act</w:t>
        </w:r>
        <w:r>
          <w:rPr>
            <w:color w:val="0000FF"/>
            <w:spacing w:val="-1"/>
            <w:u w:val="single" w:color="0000FF"/>
          </w:rPr>
          <w:t> </w:t>
        </w:r>
        <w:r>
          <w:rPr>
            <w:color w:val="0000FF"/>
            <w:u w:val="single" w:color="0000FF"/>
          </w:rPr>
          <w:t>2023</w:t>
        </w:r>
        <w:r>
          <w:rPr>
            <w:u w:val="none"/>
          </w:rPr>
          <w:t>.</w:t>
        </w:r>
      </w:hyperlink>
      <w:r>
        <w:rPr>
          <w:spacing w:val="-1"/>
          <w:u w:val="none"/>
        </w:rPr>
        <w:t> </w:t>
      </w:r>
      <w:r>
        <w:rPr>
          <w:u w:val="none"/>
        </w:rPr>
        <w:t>The Office for Students (OfS) has further guidance on the </w:t>
      </w:r>
      <w:hyperlink r:id="rId9">
        <w:r>
          <w:rPr>
            <w:color w:val="0000FF"/>
            <w:u w:val="single" w:color="0000FF"/>
          </w:rPr>
          <w:t>Equality</w:t>
        </w:r>
      </w:hyperlink>
      <w:r>
        <w:rPr>
          <w:color w:val="0000FF"/>
          <w:u w:val="none"/>
        </w:rPr>
        <w:t> </w:t>
      </w:r>
      <w:hyperlink r:id="rId9">
        <w:r>
          <w:rPr>
            <w:color w:val="0000FF"/>
            <w:u w:val="single" w:color="0000FF"/>
          </w:rPr>
          <w:t>Act 2010</w:t>
        </w:r>
      </w:hyperlink>
      <w:r>
        <w:rPr>
          <w:color w:val="0000FF"/>
          <w:u w:val="single" w:color="0000FF"/>
        </w:rPr>
        <w:t> </w:t>
      </w:r>
      <w:r>
        <w:rPr>
          <w:u w:val="none"/>
        </w:rPr>
        <w:t>and </w:t>
      </w:r>
      <w:hyperlink r:id="rId10">
        <w:r>
          <w:rPr>
            <w:color w:val="0000FF"/>
            <w:u w:val="single" w:color="0000FF"/>
          </w:rPr>
          <w:t>Freedom of Speech in Higher Education</w:t>
        </w:r>
        <w:r>
          <w:rPr>
            <w:u w:val="none"/>
          </w:rPr>
          <w:t>.</w:t>
        </w:r>
      </w:hyperlink>
      <w:r>
        <w:rPr>
          <w:u w:val="none"/>
        </w:rPr>
        <w:t> You should also read your relevant UK university equality and diversity policies.</w:t>
      </w:r>
    </w:p>
    <w:p>
      <w:pPr>
        <w:pStyle w:val="BodyText"/>
        <w:spacing w:before="2"/>
      </w:pPr>
    </w:p>
    <w:p>
      <w:pPr>
        <w:pStyle w:val="BodyText"/>
        <w:ind w:left="140" w:right="138"/>
        <w:jc w:val="both"/>
      </w:pPr>
      <w:r>
        <w:rPr/>
        <w:t>The</w:t>
      </w:r>
      <w:r>
        <w:rPr>
          <w:spacing w:val="-14"/>
        </w:rPr>
        <w:t> </w:t>
      </w:r>
      <w:r>
        <w:rPr/>
        <w:t>provisions</w:t>
      </w:r>
      <w:r>
        <w:rPr>
          <w:spacing w:val="-10"/>
        </w:rPr>
        <w:t> </w:t>
      </w:r>
      <w:r>
        <w:rPr/>
        <w:t>of</w:t>
      </w:r>
      <w:r>
        <w:rPr>
          <w:spacing w:val="-14"/>
        </w:rPr>
        <w:t> </w:t>
      </w:r>
      <w:r>
        <w:rPr/>
        <w:t>this</w:t>
      </w:r>
      <w:r>
        <w:rPr>
          <w:spacing w:val="-12"/>
        </w:rPr>
        <w:t> </w:t>
      </w:r>
      <w:r>
        <w:rPr/>
        <w:t>Code</w:t>
      </w:r>
      <w:r>
        <w:rPr>
          <w:spacing w:val="-9"/>
        </w:rPr>
        <w:t> </w:t>
      </w:r>
      <w:r>
        <w:rPr/>
        <w:t>and</w:t>
      </w:r>
      <w:r>
        <w:rPr>
          <w:spacing w:val="-11"/>
        </w:rPr>
        <w:t> </w:t>
      </w:r>
      <w:r>
        <w:rPr/>
        <w:t>the</w:t>
      </w:r>
      <w:r>
        <w:rPr>
          <w:spacing w:val="-10"/>
        </w:rPr>
        <w:t> </w:t>
      </w:r>
      <w:hyperlink r:id="rId11">
        <w:r>
          <w:rPr>
            <w:color w:val="0000FF"/>
            <w:u w:val="single" w:color="0000FF"/>
          </w:rPr>
          <w:t>Disciplinary</w:t>
        </w:r>
        <w:r>
          <w:rPr>
            <w:color w:val="0000FF"/>
            <w:spacing w:val="-12"/>
            <w:u w:val="single" w:color="0000FF"/>
          </w:rPr>
          <w:t> </w:t>
        </w:r>
        <w:r>
          <w:rPr>
            <w:color w:val="0000FF"/>
            <w:u w:val="single" w:color="0000FF"/>
          </w:rPr>
          <w:t>Policy</w:t>
        </w:r>
      </w:hyperlink>
      <w:r>
        <w:rPr>
          <w:color w:val="0000FF"/>
          <w:spacing w:val="-8"/>
          <w:u w:val="none"/>
        </w:rPr>
        <w:t> </w:t>
      </w:r>
      <w:r>
        <w:rPr>
          <w:u w:val="none"/>
        </w:rPr>
        <w:t>apply</w:t>
      </w:r>
      <w:r>
        <w:rPr>
          <w:spacing w:val="-12"/>
          <w:u w:val="none"/>
        </w:rPr>
        <w:t> </w:t>
      </w:r>
      <w:r>
        <w:rPr>
          <w:u w:val="none"/>
        </w:rPr>
        <w:t>to</w:t>
      </w:r>
      <w:r>
        <w:rPr>
          <w:spacing w:val="-11"/>
          <w:u w:val="none"/>
        </w:rPr>
        <w:t> </w:t>
      </w:r>
      <w:r>
        <w:rPr>
          <w:u w:val="none"/>
        </w:rPr>
        <w:t>all</w:t>
      </w:r>
      <w:r>
        <w:rPr>
          <w:spacing w:val="-14"/>
          <w:u w:val="none"/>
        </w:rPr>
        <w:t> </w:t>
      </w:r>
      <w:r>
        <w:rPr>
          <w:u w:val="none"/>
        </w:rPr>
        <w:t>communications,</w:t>
      </w:r>
      <w:r>
        <w:rPr>
          <w:spacing w:val="-14"/>
          <w:u w:val="none"/>
        </w:rPr>
        <w:t> </w:t>
      </w:r>
      <w:r>
        <w:rPr>
          <w:u w:val="none"/>
        </w:rPr>
        <w:t>including</w:t>
      </w:r>
      <w:r>
        <w:rPr>
          <w:spacing w:val="-12"/>
          <w:u w:val="none"/>
        </w:rPr>
        <w:t> </w:t>
      </w:r>
      <w:r>
        <w:rPr>
          <w:u w:val="none"/>
        </w:rPr>
        <w:t>but</w:t>
      </w:r>
      <w:r>
        <w:rPr>
          <w:spacing w:val="-14"/>
          <w:u w:val="none"/>
        </w:rPr>
        <w:t> </w:t>
      </w:r>
      <w:r>
        <w:rPr>
          <w:u w:val="none"/>
        </w:rPr>
        <w:t>not</w:t>
      </w:r>
      <w:r>
        <w:rPr>
          <w:spacing w:val="-12"/>
          <w:u w:val="none"/>
        </w:rPr>
        <w:t> </w:t>
      </w:r>
      <w:r>
        <w:rPr>
          <w:u w:val="none"/>
        </w:rPr>
        <w:t>limited</w:t>
      </w:r>
      <w:r>
        <w:rPr>
          <w:spacing w:val="-14"/>
          <w:u w:val="none"/>
        </w:rPr>
        <w:t> </w:t>
      </w:r>
      <w:r>
        <w:rPr>
          <w:u w:val="none"/>
        </w:rPr>
        <w:t>to,</w:t>
      </w:r>
      <w:r>
        <w:rPr>
          <w:spacing w:val="-7"/>
          <w:u w:val="none"/>
        </w:rPr>
        <w:t> </w:t>
      </w:r>
      <w:r>
        <w:rPr>
          <w:u w:val="none"/>
        </w:rPr>
        <w:t>social media</w:t>
      </w:r>
      <w:r>
        <w:rPr>
          <w:spacing w:val="-2"/>
          <w:u w:val="none"/>
        </w:rPr>
        <w:t> </w:t>
      </w:r>
      <w:r>
        <w:rPr>
          <w:u w:val="none"/>
        </w:rPr>
        <w:t>and electronic</w:t>
      </w:r>
      <w:r>
        <w:rPr>
          <w:spacing w:val="-1"/>
          <w:u w:val="none"/>
        </w:rPr>
        <w:t> </w:t>
      </w:r>
      <w:r>
        <w:rPr>
          <w:u w:val="none"/>
        </w:rPr>
        <w:t>communications, speaking in public and</w:t>
      </w:r>
      <w:r>
        <w:rPr>
          <w:spacing w:val="-2"/>
          <w:u w:val="none"/>
        </w:rPr>
        <w:t> </w:t>
      </w:r>
      <w:r>
        <w:rPr>
          <w:u w:val="none"/>
        </w:rPr>
        <w:t>writing</w:t>
      </w:r>
      <w:r>
        <w:rPr>
          <w:spacing w:val="-2"/>
          <w:u w:val="none"/>
        </w:rPr>
        <w:t> </w:t>
      </w:r>
      <w:r>
        <w:rPr>
          <w:u w:val="none"/>
        </w:rPr>
        <w:t>something for</w:t>
      </w:r>
      <w:r>
        <w:rPr>
          <w:spacing w:val="-1"/>
          <w:u w:val="none"/>
        </w:rPr>
        <w:t> </w:t>
      </w:r>
      <w:r>
        <w:rPr>
          <w:u w:val="none"/>
        </w:rPr>
        <w:t>publication, either</w:t>
      </w:r>
      <w:r>
        <w:rPr>
          <w:spacing w:val="-1"/>
          <w:u w:val="none"/>
        </w:rPr>
        <w:t> </w:t>
      </w:r>
      <w:r>
        <w:rPr>
          <w:u w:val="none"/>
        </w:rPr>
        <w:t>officially</w:t>
      </w:r>
      <w:r>
        <w:rPr>
          <w:spacing w:val="-1"/>
          <w:u w:val="none"/>
        </w:rPr>
        <w:t> </w:t>
      </w:r>
      <w:r>
        <w:rPr>
          <w:u w:val="none"/>
        </w:rPr>
        <w:t>or</w:t>
      </w:r>
      <w:r>
        <w:rPr>
          <w:spacing w:val="-1"/>
          <w:u w:val="none"/>
        </w:rPr>
        <w:t> </w:t>
      </w:r>
      <w:r>
        <w:rPr>
          <w:u w:val="none"/>
        </w:rPr>
        <w:t>in a</w:t>
      </w:r>
      <w:r>
        <w:rPr>
          <w:spacing w:val="-10"/>
          <w:u w:val="none"/>
        </w:rPr>
        <w:t> </w:t>
      </w:r>
      <w:r>
        <w:rPr>
          <w:u w:val="none"/>
        </w:rPr>
        <w:t>personal</w:t>
      </w:r>
      <w:r>
        <w:rPr>
          <w:spacing w:val="-9"/>
          <w:u w:val="none"/>
        </w:rPr>
        <w:t> </w:t>
      </w:r>
      <w:r>
        <w:rPr>
          <w:u w:val="none"/>
        </w:rPr>
        <w:t>capacity.</w:t>
      </w:r>
      <w:r>
        <w:rPr>
          <w:spacing w:val="-9"/>
          <w:u w:val="none"/>
        </w:rPr>
        <w:t> </w:t>
      </w:r>
      <w:r>
        <w:rPr>
          <w:u w:val="none"/>
        </w:rPr>
        <w:t>When</w:t>
      </w:r>
      <w:r>
        <w:rPr>
          <w:spacing w:val="-9"/>
          <w:u w:val="none"/>
        </w:rPr>
        <w:t> </w:t>
      </w:r>
      <w:r>
        <w:rPr>
          <w:u w:val="none"/>
        </w:rPr>
        <w:t>engaging</w:t>
      </w:r>
      <w:r>
        <w:rPr>
          <w:spacing w:val="-9"/>
          <w:u w:val="none"/>
        </w:rPr>
        <w:t> </w:t>
      </w:r>
      <w:r>
        <w:rPr>
          <w:u w:val="none"/>
        </w:rPr>
        <w:t>with</w:t>
      </w:r>
      <w:r>
        <w:rPr>
          <w:spacing w:val="-10"/>
          <w:u w:val="none"/>
        </w:rPr>
        <w:t> </w:t>
      </w:r>
      <w:r>
        <w:rPr>
          <w:u w:val="none"/>
        </w:rPr>
        <w:t>social</w:t>
      </w:r>
      <w:r>
        <w:rPr>
          <w:spacing w:val="-9"/>
          <w:u w:val="none"/>
        </w:rPr>
        <w:t> </w:t>
      </w:r>
      <w:r>
        <w:rPr>
          <w:u w:val="none"/>
        </w:rPr>
        <w:t>media,</w:t>
      </w:r>
      <w:r>
        <w:rPr>
          <w:spacing w:val="-9"/>
          <w:u w:val="none"/>
        </w:rPr>
        <w:t> </w:t>
      </w:r>
      <w:r>
        <w:rPr>
          <w:u w:val="none"/>
        </w:rPr>
        <w:t>you</w:t>
      </w:r>
      <w:r>
        <w:rPr>
          <w:spacing w:val="-10"/>
          <w:u w:val="none"/>
        </w:rPr>
        <w:t> </w:t>
      </w:r>
      <w:r>
        <w:rPr>
          <w:u w:val="none"/>
        </w:rPr>
        <w:t>should</w:t>
      </w:r>
      <w:r>
        <w:rPr>
          <w:spacing w:val="-10"/>
          <w:u w:val="none"/>
        </w:rPr>
        <w:t> </w:t>
      </w:r>
      <w:r>
        <w:rPr>
          <w:u w:val="none"/>
        </w:rPr>
        <w:t>always</w:t>
      </w:r>
      <w:r>
        <w:rPr>
          <w:spacing w:val="-9"/>
          <w:u w:val="none"/>
        </w:rPr>
        <w:t> </w:t>
      </w:r>
      <w:r>
        <w:rPr>
          <w:u w:val="none"/>
        </w:rPr>
        <w:t>respect</w:t>
      </w:r>
      <w:r>
        <w:rPr>
          <w:spacing w:val="-9"/>
          <w:u w:val="none"/>
        </w:rPr>
        <w:t> </w:t>
      </w:r>
      <w:r>
        <w:rPr>
          <w:u w:val="none"/>
        </w:rPr>
        <w:t>confidentiality,</w:t>
      </w:r>
      <w:r>
        <w:rPr>
          <w:spacing w:val="-9"/>
          <w:u w:val="none"/>
        </w:rPr>
        <w:t> </w:t>
      </w:r>
      <w:r>
        <w:rPr>
          <w:u w:val="none"/>
        </w:rPr>
        <w:t>financial,</w:t>
      </w:r>
      <w:r>
        <w:rPr>
          <w:spacing w:val="-9"/>
          <w:u w:val="none"/>
        </w:rPr>
        <w:t> </w:t>
      </w:r>
      <w:r>
        <w:rPr>
          <w:u w:val="none"/>
        </w:rPr>
        <w:t>legal</w:t>
      </w:r>
      <w:r>
        <w:rPr>
          <w:spacing w:val="-9"/>
          <w:u w:val="none"/>
        </w:rPr>
        <w:t> </w:t>
      </w:r>
      <w:r>
        <w:rPr>
          <w:u w:val="none"/>
        </w:rPr>
        <w:t>and personal information. Social</w:t>
      </w:r>
      <w:r>
        <w:rPr>
          <w:spacing w:val="-2"/>
          <w:u w:val="none"/>
        </w:rPr>
        <w:t> </w:t>
      </w:r>
      <w:r>
        <w:rPr>
          <w:u w:val="none"/>
        </w:rPr>
        <w:t>media and</w:t>
      </w:r>
      <w:r>
        <w:rPr>
          <w:spacing w:val="-1"/>
          <w:u w:val="none"/>
        </w:rPr>
        <w:t> </w:t>
      </w:r>
      <w:r>
        <w:rPr>
          <w:u w:val="none"/>
        </w:rPr>
        <w:t>electronic communications, whether public or private, addressed</w:t>
      </w:r>
      <w:r>
        <w:rPr>
          <w:spacing w:val="-2"/>
          <w:u w:val="none"/>
        </w:rPr>
        <w:t> </w:t>
      </w:r>
      <w:r>
        <w:rPr>
          <w:u w:val="none"/>
        </w:rPr>
        <w:t>to a group or</w:t>
      </w:r>
      <w:r>
        <w:rPr>
          <w:spacing w:val="-14"/>
          <w:u w:val="none"/>
        </w:rPr>
        <w:t> </w:t>
      </w:r>
      <w:r>
        <w:rPr>
          <w:u w:val="none"/>
        </w:rPr>
        <w:t>an</w:t>
      </w:r>
      <w:r>
        <w:rPr>
          <w:spacing w:val="-14"/>
          <w:u w:val="none"/>
        </w:rPr>
        <w:t> </w:t>
      </w:r>
      <w:r>
        <w:rPr>
          <w:u w:val="none"/>
        </w:rPr>
        <w:t>individual,</w:t>
      </w:r>
      <w:r>
        <w:rPr>
          <w:spacing w:val="-14"/>
          <w:u w:val="none"/>
        </w:rPr>
        <w:t> </w:t>
      </w:r>
      <w:r>
        <w:rPr>
          <w:u w:val="none"/>
        </w:rPr>
        <w:t>should</w:t>
      </w:r>
      <w:r>
        <w:rPr>
          <w:spacing w:val="-14"/>
          <w:u w:val="none"/>
        </w:rPr>
        <w:t> </w:t>
      </w:r>
      <w:r>
        <w:rPr>
          <w:u w:val="none"/>
        </w:rPr>
        <w:t>never</w:t>
      </w:r>
      <w:r>
        <w:rPr>
          <w:spacing w:val="-14"/>
          <w:u w:val="none"/>
        </w:rPr>
        <w:t> </w:t>
      </w:r>
      <w:r>
        <w:rPr>
          <w:u w:val="none"/>
        </w:rPr>
        <w:t>be</w:t>
      </w:r>
      <w:r>
        <w:rPr>
          <w:spacing w:val="-14"/>
          <w:u w:val="none"/>
        </w:rPr>
        <w:t> </w:t>
      </w:r>
      <w:r>
        <w:rPr>
          <w:u w:val="none"/>
        </w:rPr>
        <w:t>used</w:t>
      </w:r>
      <w:r>
        <w:rPr>
          <w:spacing w:val="-14"/>
          <w:u w:val="none"/>
        </w:rPr>
        <w:t> </w:t>
      </w:r>
      <w:r>
        <w:rPr>
          <w:u w:val="none"/>
        </w:rPr>
        <w:t>for</w:t>
      </w:r>
      <w:r>
        <w:rPr>
          <w:spacing w:val="-14"/>
          <w:u w:val="none"/>
        </w:rPr>
        <w:t> </w:t>
      </w:r>
      <w:r>
        <w:rPr>
          <w:u w:val="none"/>
        </w:rPr>
        <w:t>harassment,</w:t>
      </w:r>
      <w:r>
        <w:rPr>
          <w:spacing w:val="-14"/>
          <w:u w:val="none"/>
        </w:rPr>
        <w:t> </w:t>
      </w:r>
      <w:r>
        <w:rPr>
          <w:u w:val="none"/>
        </w:rPr>
        <w:t>bullying,</w:t>
      </w:r>
      <w:r>
        <w:rPr>
          <w:spacing w:val="-13"/>
          <w:u w:val="none"/>
        </w:rPr>
        <w:t> </w:t>
      </w:r>
      <w:r>
        <w:rPr>
          <w:u w:val="none"/>
        </w:rPr>
        <w:t>defamation,</w:t>
      </w:r>
      <w:r>
        <w:rPr>
          <w:spacing w:val="-14"/>
          <w:u w:val="none"/>
        </w:rPr>
        <w:t> </w:t>
      </w:r>
      <w:r>
        <w:rPr>
          <w:u w:val="none"/>
        </w:rPr>
        <w:t>or</w:t>
      </w:r>
      <w:r>
        <w:rPr>
          <w:spacing w:val="-14"/>
          <w:u w:val="none"/>
        </w:rPr>
        <w:t> </w:t>
      </w:r>
      <w:r>
        <w:rPr>
          <w:u w:val="none"/>
        </w:rPr>
        <w:t>any</w:t>
      </w:r>
      <w:r>
        <w:rPr>
          <w:spacing w:val="-14"/>
          <w:u w:val="none"/>
        </w:rPr>
        <w:t> </w:t>
      </w:r>
      <w:r>
        <w:rPr>
          <w:u w:val="none"/>
        </w:rPr>
        <w:t>threatening</w:t>
      </w:r>
      <w:r>
        <w:rPr>
          <w:spacing w:val="-14"/>
          <w:u w:val="none"/>
        </w:rPr>
        <w:t> </w:t>
      </w:r>
      <w:r>
        <w:rPr>
          <w:u w:val="none"/>
        </w:rPr>
        <w:t>or</w:t>
      </w:r>
      <w:r>
        <w:rPr>
          <w:spacing w:val="-14"/>
          <w:u w:val="none"/>
        </w:rPr>
        <w:t> </w:t>
      </w:r>
      <w:r>
        <w:rPr>
          <w:u w:val="none"/>
        </w:rPr>
        <w:t>offensive</w:t>
      </w:r>
      <w:r>
        <w:rPr>
          <w:spacing w:val="-12"/>
          <w:u w:val="none"/>
        </w:rPr>
        <w:t> </w:t>
      </w:r>
      <w:r>
        <w:rPr>
          <w:u w:val="none"/>
        </w:rPr>
        <w:t>behaviour as</w:t>
      </w:r>
      <w:r>
        <w:rPr>
          <w:spacing w:val="-5"/>
          <w:u w:val="none"/>
        </w:rPr>
        <w:t> </w:t>
      </w:r>
      <w:r>
        <w:rPr>
          <w:u w:val="none"/>
        </w:rPr>
        <w:t>outlined</w:t>
      </w:r>
      <w:r>
        <w:rPr>
          <w:spacing w:val="-4"/>
          <w:u w:val="none"/>
        </w:rPr>
        <w:t> </w:t>
      </w:r>
      <w:r>
        <w:rPr>
          <w:u w:val="none"/>
        </w:rPr>
        <w:t>in</w:t>
      </w:r>
      <w:r>
        <w:rPr>
          <w:spacing w:val="-3"/>
          <w:u w:val="none"/>
        </w:rPr>
        <w:t> </w:t>
      </w:r>
      <w:r>
        <w:rPr>
          <w:u w:val="none"/>
        </w:rPr>
        <w:t>the</w:t>
      </w:r>
      <w:r>
        <w:rPr>
          <w:spacing w:val="-4"/>
          <w:u w:val="none"/>
        </w:rPr>
        <w:t> </w:t>
      </w:r>
      <w:r>
        <w:rPr>
          <w:u w:val="none"/>
        </w:rPr>
        <w:t>Disciplinary</w:t>
      </w:r>
      <w:r>
        <w:rPr>
          <w:spacing w:val="-4"/>
          <w:u w:val="none"/>
        </w:rPr>
        <w:t> </w:t>
      </w:r>
      <w:r>
        <w:rPr>
          <w:u w:val="none"/>
        </w:rPr>
        <w:t>Policy.</w:t>
      </w:r>
      <w:r>
        <w:rPr>
          <w:spacing w:val="-5"/>
          <w:u w:val="none"/>
        </w:rPr>
        <w:t> </w:t>
      </w:r>
      <w:r>
        <w:rPr>
          <w:u w:val="none"/>
        </w:rPr>
        <w:t>Scholars</w:t>
      </w:r>
      <w:r>
        <w:rPr>
          <w:spacing w:val="-4"/>
          <w:u w:val="none"/>
        </w:rPr>
        <w:t> </w:t>
      </w:r>
      <w:r>
        <w:rPr>
          <w:u w:val="none"/>
        </w:rPr>
        <w:t>should</w:t>
      </w:r>
      <w:r>
        <w:rPr>
          <w:spacing w:val="-4"/>
          <w:u w:val="none"/>
        </w:rPr>
        <w:t> </w:t>
      </w:r>
      <w:r>
        <w:rPr>
          <w:u w:val="none"/>
        </w:rPr>
        <w:t>also</w:t>
      </w:r>
      <w:r>
        <w:rPr>
          <w:spacing w:val="-6"/>
          <w:u w:val="none"/>
        </w:rPr>
        <w:t> </w:t>
      </w:r>
      <w:r>
        <w:rPr>
          <w:u w:val="none"/>
        </w:rPr>
        <w:t>refrain</w:t>
      </w:r>
      <w:r>
        <w:rPr>
          <w:spacing w:val="-4"/>
          <w:u w:val="none"/>
        </w:rPr>
        <w:t> </w:t>
      </w:r>
      <w:r>
        <w:rPr>
          <w:u w:val="none"/>
        </w:rPr>
        <w:t>from</w:t>
      </w:r>
      <w:r>
        <w:rPr>
          <w:spacing w:val="-5"/>
          <w:u w:val="none"/>
        </w:rPr>
        <w:t> </w:t>
      </w:r>
      <w:r>
        <w:rPr>
          <w:u w:val="none"/>
        </w:rPr>
        <w:t>representing</w:t>
      </w:r>
      <w:r>
        <w:rPr>
          <w:spacing w:val="40"/>
          <w:u w:val="none"/>
        </w:rPr>
        <w:t> </w:t>
      </w:r>
      <w:r>
        <w:rPr>
          <w:u w:val="none"/>
        </w:rPr>
        <w:t>the</w:t>
      </w:r>
      <w:r>
        <w:rPr>
          <w:spacing w:val="-5"/>
          <w:u w:val="none"/>
        </w:rPr>
        <w:t> </w:t>
      </w:r>
      <w:r>
        <w:rPr>
          <w:u w:val="none"/>
        </w:rPr>
        <w:t>views</w:t>
      </w:r>
      <w:r>
        <w:rPr>
          <w:spacing w:val="-4"/>
          <w:u w:val="none"/>
        </w:rPr>
        <w:t> </w:t>
      </w:r>
      <w:r>
        <w:rPr>
          <w:u w:val="none"/>
        </w:rPr>
        <w:t>of</w:t>
      </w:r>
      <w:r>
        <w:rPr>
          <w:spacing w:val="-6"/>
          <w:u w:val="none"/>
        </w:rPr>
        <w:t> </w:t>
      </w:r>
      <w:r>
        <w:rPr>
          <w:u w:val="none"/>
        </w:rPr>
        <w:t>the</w:t>
      </w:r>
      <w:r>
        <w:rPr>
          <w:spacing w:val="-3"/>
          <w:u w:val="none"/>
        </w:rPr>
        <w:t> </w:t>
      </w:r>
      <w:r>
        <w:rPr>
          <w:u w:val="none"/>
        </w:rPr>
        <w:t>MACC;</w:t>
      </w:r>
      <w:r>
        <w:rPr>
          <w:spacing w:val="-5"/>
          <w:u w:val="none"/>
        </w:rPr>
        <w:t> </w:t>
      </w:r>
      <w:r>
        <w:rPr>
          <w:u w:val="none"/>
        </w:rPr>
        <w:t>the</w:t>
      </w:r>
      <w:r>
        <w:rPr>
          <w:spacing w:val="-6"/>
          <w:u w:val="none"/>
        </w:rPr>
        <w:t> </w:t>
      </w:r>
      <w:r>
        <w:rPr>
          <w:u w:val="none"/>
        </w:rPr>
        <w:t>UK Foreign,</w:t>
      </w:r>
      <w:r>
        <w:rPr>
          <w:spacing w:val="-8"/>
          <w:u w:val="none"/>
        </w:rPr>
        <w:t> </w:t>
      </w:r>
      <w:r>
        <w:rPr>
          <w:u w:val="none"/>
        </w:rPr>
        <w:t>Commonwealth</w:t>
      </w:r>
      <w:r>
        <w:rPr>
          <w:spacing w:val="-8"/>
          <w:u w:val="none"/>
        </w:rPr>
        <w:t> </w:t>
      </w:r>
      <w:r>
        <w:rPr>
          <w:u w:val="none"/>
        </w:rPr>
        <w:t>and</w:t>
      </w:r>
      <w:r>
        <w:rPr>
          <w:spacing w:val="-8"/>
          <w:u w:val="none"/>
        </w:rPr>
        <w:t> </w:t>
      </w:r>
      <w:r>
        <w:rPr>
          <w:u w:val="none"/>
        </w:rPr>
        <w:t>Development</w:t>
      </w:r>
      <w:r>
        <w:rPr>
          <w:spacing w:val="-8"/>
          <w:u w:val="none"/>
        </w:rPr>
        <w:t> </w:t>
      </w:r>
      <w:r>
        <w:rPr>
          <w:u w:val="none"/>
        </w:rPr>
        <w:t>Office</w:t>
      </w:r>
      <w:r>
        <w:rPr>
          <w:spacing w:val="-8"/>
          <w:u w:val="none"/>
        </w:rPr>
        <w:t> </w:t>
      </w:r>
      <w:r>
        <w:rPr>
          <w:u w:val="none"/>
        </w:rPr>
        <w:t>(FCDO);</w:t>
      </w:r>
      <w:r>
        <w:rPr>
          <w:spacing w:val="-8"/>
          <w:u w:val="none"/>
        </w:rPr>
        <w:t> </w:t>
      </w:r>
      <w:r>
        <w:rPr>
          <w:u w:val="none"/>
        </w:rPr>
        <w:t>the</w:t>
      </w:r>
      <w:r>
        <w:rPr>
          <w:spacing w:val="-8"/>
          <w:u w:val="none"/>
        </w:rPr>
        <w:t> </w:t>
      </w:r>
      <w:r>
        <w:rPr>
          <w:u w:val="none"/>
        </w:rPr>
        <w:t>British</w:t>
      </w:r>
      <w:r>
        <w:rPr>
          <w:spacing w:val="-8"/>
          <w:u w:val="none"/>
        </w:rPr>
        <w:t> </w:t>
      </w:r>
      <w:r>
        <w:rPr>
          <w:u w:val="none"/>
        </w:rPr>
        <w:t>Embassy</w:t>
      </w:r>
      <w:r>
        <w:rPr>
          <w:spacing w:val="-7"/>
          <w:u w:val="none"/>
        </w:rPr>
        <w:t> </w:t>
      </w:r>
      <w:r>
        <w:rPr>
          <w:u w:val="none"/>
        </w:rPr>
        <w:t>in</w:t>
      </w:r>
      <w:r>
        <w:rPr>
          <w:spacing w:val="-8"/>
          <w:u w:val="none"/>
        </w:rPr>
        <w:t> </w:t>
      </w:r>
      <w:r>
        <w:rPr>
          <w:u w:val="none"/>
        </w:rPr>
        <w:t>Washington</w:t>
      </w:r>
      <w:r>
        <w:rPr>
          <w:spacing w:val="-8"/>
          <w:u w:val="none"/>
        </w:rPr>
        <w:t> </w:t>
      </w:r>
      <w:r>
        <w:rPr>
          <w:u w:val="none"/>
        </w:rPr>
        <w:t>DC;</w:t>
      </w:r>
      <w:r>
        <w:rPr>
          <w:spacing w:val="-8"/>
          <w:u w:val="none"/>
        </w:rPr>
        <w:t> </w:t>
      </w:r>
      <w:r>
        <w:rPr>
          <w:u w:val="none"/>
        </w:rPr>
        <w:t>the</w:t>
      </w:r>
      <w:r>
        <w:rPr>
          <w:spacing w:val="-8"/>
          <w:u w:val="none"/>
        </w:rPr>
        <w:t> </w:t>
      </w:r>
      <w:r>
        <w:rPr>
          <w:u w:val="none"/>
        </w:rPr>
        <w:t>US</w:t>
      </w:r>
      <w:r>
        <w:rPr>
          <w:spacing w:val="-8"/>
          <w:u w:val="none"/>
        </w:rPr>
        <w:t> </w:t>
      </w:r>
      <w:r>
        <w:rPr>
          <w:u w:val="none"/>
        </w:rPr>
        <w:t>Embassy in London; the Association of Marshall Scholars (AMS) or UK universities in their social media or any other communications. Please see the </w:t>
      </w:r>
      <w:hyperlink r:id="rId12">
        <w:r>
          <w:rPr>
            <w:color w:val="0000FF"/>
            <w:u w:val="single" w:color="0000FF"/>
          </w:rPr>
          <w:t>Social Media Policy</w:t>
        </w:r>
      </w:hyperlink>
      <w:r>
        <w:rPr>
          <w:color w:val="0000FF"/>
          <w:u w:val="none"/>
        </w:rPr>
        <w:t> </w:t>
      </w:r>
      <w:r>
        <w:rPr>
          <w:u w:val="none"/>
        </w:rPr>
        <w:t>on our website for more guidance.</w:t>
      </w:r>
    </w:p>
    <w:p>
      <w:pPr>
        <w:pStyle w:val="BodyText"/>
      </w:pPr>
    </w:p>
    <w:p>
      <w:pPr>
        <w:pStyle w:val="BodyText"/>
        <w:ind w:left="140" w:right="138"/>
        <w:jc w:val="both"/>
      </w:pPr>
      <w:r>
        <w:rPr/>
        <w:t>The</w:t>
      </w:r>
      <w:r>
        <w:rPr>
          <w:spacing w:val="-2"/>
        </w:rPr>
        <w:t> </w:t>
      </w:r>
      <w:r>
        <w:rPr/>
        <w:t>Marshall</w:t>
      </w:r>
      <w:r>
        <w:rPr>
          <w:spacing w:val="-2"/>
        </w:rPr>
        <w:t> </w:t>
      </w:r>
      <w:r>
        <w:rPr/>
        <w:t>Commission is committed</w:t>
      </w:r>
      <w:r>
        <w:rPr>
          <w:spacing w:val="-2"/>
        </w:rPr>
        <w:t> </w:t>
      </w:r>
      <w:r>
        <w:rPr/>
        <w:t>to</w:t>
      </w:r>
      <w:r>
        <w:rPr>
          <w:spacing w:val="-1"/>
        </w:rPr>
        <w:t> </w:t>
      </w:r>
      <w:r>
        <w:rPr/>
        <w:t>upholding its safeguarding</w:t>
      </w:r>
      <w:r>
        <w:rPr>
          <w:spacing w:val="-1"/>
        </w:rPr>
        <w:t> </w:t>
      </w:r>
      <w:r>
        <w:rPr/>
        <w:t>policy,</w:t>
      </w:r>
      <w:r>
        <w:rPr>
          <w:spacing w:val="-1"/>
        </w:rPr>
        <w:t> </w:t>
      </w:r>
      <w:r>
        <w:rPr/>
        <w:t>which</w:t>
      </w:r>
      <w:r>
        <w:rPr>
          <w:spacing w:val="-1"/>
        </w:rPr>
        <w:t> </w:t>
      </w:r>
      <w:r>
        <w:rPr/>
        <w:t>is subject</w:t>
      </w:r>
      <w:r>
        <w:rPr>
          <w:spacing w:val="-1"/>
        </w:rPr>
        <w:t> </w:t>
      </w:r>
      <w:r>
        <w:rPr/>
        <w:t>to</w:t>
      </w:r>
      <w:r>
        <w:rPr>
          <w:spacing w:val="-1"/>
        </w:rPr>
        <w:t> </w:t>
      </w:r>
      <w:r>
        <w:rPr/>
        <w:t>regular review.</w:t>
      </w:r>
      <w:r>
        <w:rPr>
          <w:spacing w:val="-1"/>
        </w:rPr>
        <w:t> </w:t>
      </w:r>
      <w:r>
        <w:rPr/>
        <w:t>The Commission</w:t>
      </w:r>
      <w:r>
        <w:rPr>
          <w:spacing w:val="-7"/>
        </w:rPr>
        <w:t> </w:t>
      </w:r>
      <w:r>
        <w:rPr/>
        <w:t>works</w:t>
      </w:r>
      <w:r>
        <w:rPr>
          <w:spacing w:val="-5"/>
        </w:rPr>
        <w:t> </w:t>
      </w:r>
      <w:r>
        <w:rPr/>
        <w:t>with</w:t>
      </w:r>
      <w:r>
        <w:rPr>
          <w:spacing w:val="-7"/>
        </w:rPr>
        <w:t> </w:t>
      </w:r>
      <w:r>
        <w:rPr/>
        <w:t>host</w:t>
      </w:r>
      <w:r>
        <w:rPr>
          <w:spacing w:val="-6"/>
        </w:rPr>
        <w:t> </w:t>
      </w:r>
      <w:r>
        <w:rPr/>
        <w:t>UK</w:t>
      </w:r>
      <w:r>
        <w:rPr>
          <w:spacing w:val="-7"/>
        </w:rPr>
        <w:t> </w:t>
      </w:r>
      <w:r>
        <w:rPr/>
        <w:t>universities</w:t>
      </w:r>
      <w:r>
        <w:rPr>
          <w:spacing w:val="-6"/>
        </w:rPr>
        <w:t> </w:t>
      </w:r>
      <w:r>
        <w:rPr/>
        <w:t>to</w:t>
      </w:r>
      <w:r>
        <w:rPr>
          <w:spacing w:val="-7"/>
        </w:rPr>
        <w:t> </w:t>
      </w:r>
      <w:r>
        <w:rPr/>
        <w:t>support</w:t>
      </w:r>
      <w:r>
        <w:rPr>
          <w:spacing w:val="-6"/>
        </w:rPr>
        <w:t> </w:t>
      </w:r>
      <w:r>
        <w:rPr/>
        <w:t>the</w:t>
      </w:r>
      <w:r>
        <w:rPr>
          <w:spacing w:val="-7"/>
        </w:rPr>
        <w:t> </w:t>
      </w:r>
      <w:r>
        <w:rPr/>
        <w:t>welfare</w:t>
      </w:r>
      <w:r>
        <w:rPr>
          <w:spacing w:val="-6"/>
        </w:rPr>
        <w:t> </w:t>
      </w:r>
      <w:r>
        <w:rPr/>
        <w:t>of</w:t>
      </w:r>
      <w:r>
        <w:rPr>
          <w:spacing w:val="-4"/>
        </w:rPr>
        <w:t> </w:t>
      </w:r>
      <w:r>
        <w:rPr/>
        <w:t>all</w:t>
      </w:r>
      <w:r>
        <w:rPr>
          <w:spacing w:val="-7"/>
        </w:rPr>
        <w:t> </w:t>
      </w:r>
      <w:r>
        <w:rPr/>
        <w:t>Marshall</w:t>
      </w:r>
      <w:r>
        <w:rPr>
          <w:spacing w:val="-5"/>
        </w:rPr>
        <w:t> </w:t>
      </w:r>
      <w:r>
        <w:rPr/>
        <w:t>Scholars,</w:t>
      </w:r>
      <w:r>
        <w:rPr>
          <w:spacing w:val="-6"/>
        </w:rPr>
        <w:t> </w:t>
      </w:r>
      <w:r>
        <w:rPr/>
        <w:t>recognising</w:t>
      </w:r>
      <w:r>
        <w:rPr>
          <w:spacing w:val="-7"/>
        </w:rPr>
        <w:t> </w:t>
      </w:r>
      <w:r>
        <w:rPr/>
        <w:t>that</w:t>
      </w:r>
      <w:r>
        <w:rPr>
          <w:spacing w:val="-4"/>
        </w:rPr>
        <w:t> </w:t>
      </w:r>
      <w:r>
        <w:rPr/>
        <w:t>primary responsibility for student welfare in the UK resides with the student’s university. The Commission requires Commissioners, Secretariat staff, and Scholars and Fellows to fulfil their role and responsibilities in a manner consistent</w:t>
      </w:r>
      <w:r>
        <w:rPr>
          <w:spacing w:val="-6"/>
        </w:rPr>
        <w:t> </w:t>
      </w:r>
      <w:r>
        <w:rPr/>
        <w:t>with</w:t>
      </w:r>
      <w:r>
        <w:rPr>
          <w:spacing w:val="-7"/>
        </w:rPr>
        <w:t> </w:t>
      </w:r>
      <w:r>
        <w:rPr/>
        <w:t>requirements</w:t>
      </w:r>
      <w:r>
        <w:rPr>
          <w:spacing w:val="-5"/>
        </w:rPr>
        <w:t> </w:t>
      </w:r>
      <w:r>
        <w:rPr/>
        <w:t>for</w:t>
      </w:r>
      <w:r>
        <w:rPr>
          <w:spacing w:val="-6"/>
        </w:rPr>
        <w:t> </w:t>
      </w:r>
      <w:r>
        <w:rPr/>
        <w:t>safeguarding.</w:t>
      </w:r>
      <w:r>
        <w:rPr>
          <w:spacing w:val="-7"/>
        </w:rPr>
        <w:t> </w:t>
      </w:r>
      <w:r>
        <w:rPr/>
        <w:t>The</w:t>
      </w:r>
      <w:r>
        <w:rPr>
          <w:spacing w:val="-7"/>
        </w:rPr>
        <w:t> </w:t>
      </w:r>
      <w:r>
        <w:rPr/>
        <w:t>Commission’s</w:t>
      </w:r>
      <w:r>
        <w:rPr>
          <w:spacing w:val="-3"/>
        </w:rPr>
        <w:t> </w:t>
      </w:r>
      <w:r>
        <w:rPr/>
        <w:t>Safeguarding</w:t>
      </w:r>
      <w:r>
        <w:rPr>
          <w:spacing w:val="-7"/>
        </w:rPr>
        <w:t> </w:t>
      </w:r>
      <w:r>
        <w:rPr/>
        <w:t>Policy</w:t>
      </w:r>
      <w:r>
        <w:rPr>
          <w:spacing w:val="-5"/>
        </w:rPr>
        <w:t> </w:t>
      </w:r>
      <w:r>
        <w:rPr/>
        <w:t>can</w:t>
      </w:r>
      <w:r>
        <w:rPr>
          <w:spacing w:val="-7"/>
        </w:rPr>
        <w:t> </w:t>
      </w:r>
      <w:r>
        <w:rPr/>
        <w:t>be</w:t>
      </w:r>
      <w:r>
        <w:rPr>
          <w:spacing w:val="-7"/>
        </w:rPr>
        <w:t> </w:t>
      </w:r>
      <w:r>
        <w:rPr/>
        <w:t>found</w:t>
      </w:r>
      <w:r>
        <w:rPr>
          <w:spacing w:val="-7"/>
        </w:rPr>
        <w:t> </w:t>
      </w:r>
      <w:r>
        <w:rPr/>
        <w:t>on</w:t>
      </w:r>
      <w:r>
        <w:rPr>
          <w:spacing w:val="-5"/>
        </w:rPr>
        <w:t> </w:t>
      </w:r>
      <w:r>
        <w:rPr/>
        <w:t>our</w:t>
      </w:r>
      <w:r>
        <w:rPr>
          <w:spacing w:val="-2"/>
        </w:rPr>
        <w:t> </w:t>
      </w:r>
      <w:hyperlink r:id="rId13">
        <w:r>
          <w:rPr>
            <w:color w:val="0000FF"/>
            <w:u w:val="single" w:color="0000FF"/>
          </w:rPr>
          <w:t>website.</w:t>
        </w:r>
      </w:hyperlink>
    </w:p>
    <w:p>
      <w:pPr>
        <w:pStyle w:val="BodyText"/>
      </w:pPr>
    </w:p>
    <w:p>
      <w:pPr>
        <w:pStyle w:val="BodyText"/>
        <w:ind w:left="140" w:right="142"/>
        <w:jc w:val="both"/>
      </w:pPr>
      <w:r>
        <w:rPr/>
        <w:t>Scholars</w:t>
      </w:r>
      <w:r>
        <w:rPr>
          <w:spacing w:val="-9"/>
        </w:rPr>
        <w:t> </w:t>
      </w:r>
      <w:r>
        <w:rPr/>
        <w:t>are</w:t>
      </w:r>
      <w:r>
        <w:rPr>
          <w:spacing w:val="-11"/>
        </w:rPr>
        <w:t> </w:t>
      </w:r>
      <w:r>
        <w:rPr/>
        <w:t>expected</w:t>
      </w:r>
      <w:r>
        <w:rPr>
          <w:spacing w:val="-11"/>
        </w:rPr>
        <w:t> </w:t>
      </w:r>
      <w:r>
        <w:rPr/>
        <w:t>to</w:t>
      </w:r>
      <w:r>
        <w:rPr>
          <w:spacing w:val="-12"/>
        </w:rPr>
        <w:t> </w:t>
      </w:r>
      <w:r>
        <w:rPr/>
        <w:t>fulfil</w:t>
      </w:r>
      <w:r>
        <w:rPr>
          <w:spacing w:val="-12"/>
        </w:rPr>
        <w:t> </w:t>
      </w:r>
      <w:r>
        <w:rPr/>
        <w:t>all</w:t>
      </w:r>
      <w:r>
        <w:rPr>
          <w:spacing w:val="-12"/>
        </w:rPr>
        <w:t> </w:t>
      </w:r>
      <w:r>
        <w:rPr/>
        <w:t>requirements</w:t>
      </w:r>
      <w:r>
        <w:rPr>
          <w:spacing w:val="-11"/>
        </w:rPr>
        <w:t> </w:t>
      </w:r>
      <w:r>
        <w:rPr/>
        <w:t>put</w:t>
      </w:r>
      <w:r>
        <w:rPr>
          <w:spacing w:val="-11"/>
        </w:rPr>
        <w:t> </w:t>
      </w:r>
      <w:r>
        <w:rPr/>
        <w:t>on</w:t>
      </w:r>
      <w:r>
        <w:rPr>
          <w:spacing w:val="-11"/>
        </w:rPr>
        <w:t> </w:t>
      </w:r>
      <w:r>
        <w:rPr/>
        <w:t>them</w:t>
      </w:r>
      <w:r>
        <w:rPr>
          <w:spacing w:val="-12"/>
        </w:rPr>
        <w:t> </w:t>
      </w:r>
      <w:r>
        <w:rPr/>
        <w:t>as</w:t>
      </w:r>
      <w:r>
        <w:rPr>
          <w:spacing w:val="-10"/>
        </w:rPr>
        <w:t> </w:t>
      </w:r>
      <w:r>
        <w:rPr/>
        <w:t>award-holders</w:t>
      </w:r>
      <w:r>
        <w:rPr>
          <w:spacing w:val="-10"/>
        </w:rPr>
        <w:t> </w:t>
      </w:r>
      <w:r>
        <w:rPr/>
        <w:t>and</w:t>
      </w:r>
      <w:r>
        <w:rPr>
          <w:spacing w:val="-11"/>
        </w:rPr>
        <w:t> </w:t>
      </w:r>
      <w:r>
        <w:rPr/>
        <w:t>return</w:t>
      </w:r>
      <w:r>
        <w:rPr>
          <w:spacing w:val="-11"/>
        </w:rPr>
        <w:t> </w:t>
      </w:r>
      <w:r>
        <w:rPr/>
        <w:t>all</w:t>
      </w:r>
      <w:r>
        <w:rPr>
          <w:spacing w:val="-12"/>
        </w:rPr>
        <w:t> </w:t>
      </w:r>
      <w:r>
        <w:rPr/>
        <w:t>documentation</w:t>
      </w:r>
      <w:r>
        <w:rPr>
          <w:spacing w:val="-11"/>
        </w:rPr>
        <w:t> </w:t>
      </w:r>
      <w:r>
        <w:rPr/>
        <w:t>in</w:t>
      </w:r>
      <w:r>
        <w:rPr>
          <w:spacing w:val="-9"/>
        </w:rPr>
        <w:t> </w:t>
      </w:r>
      <w:r>
        <w:rPr/>
        <w:t>a</w:t>
      </w:r>
      <w:r>
        <w:rPr>
          <w:spacing w:val="-9"/>
        </w:rPr>
        <w:t> </w:t>
      </w:r>
      <w:r>
        <w:rPr/>
        <w:t>timely and complete manner. Scholars are expected to treat any staff engaged within the Secretariat, or within any other organisation contracted to provide services to the Commission, with courtesy and respect. It is expected that such staff will show you the same consideration in return.</w:t>
      </w:r>
    </w:p>
    <w:p>
      <w:pPr>
        <w:pStyle w:val="BodyText"/>
        <w:spacing w:before="230"/>
        <w:ind w:left="140" w:right="149"/>
        <w:jc w:val="both"/>
      </w:pPr>
      <w:r>
        <w:rPr/>
        <w:t>The Commission operates a zero-tolerance attitude to fraud and will investigate all instances of actual, attempted and suspected fraud, bribery or corruption committed by Scholars and Fellows related to their award. Any such instances will be considered under the Commission’s Anti-Fraud Policy which can be found on our </w:t>
      </w:r>
      <w:hyperlink r:id="rId14">
        <w:r>
          <w:rPr>
            <w:color w:val="0000FF"/>
            <w:u w:val="single" w:color="0000FF"/>
          </w:rPr>
          <w:t>website</w:t>
        </w:r>
        <w:r>
          <w:rPr>
            <w:u w:val="none"/>
          </w:rPr>
          <w:t>.</w:t>
        </w:r>
      </w:hyperlink>
    </w:p>
    <w:p>
      <w:pPr>
        <w:pStyle w:val="BodyText"/>
        <w:spacing w:before="2"/>
      </w:pPr>
    </w:p>
    <w:p>
      <w:pPr>
        <w:pStyle w:val="BodyText"/>
        <w:ind w:left="140" w:right="138"/>
        <w:jc w:val="both"/>
      </w:pPr>
      <w:r>
        <w:rPr/>
        <w:t>Any complaints received or issues related to the behaviour of Scholars brought to the attention of the Commission will be taken very seriously and any behaviour that does not adhere to the above values and expectations will be addressed</w:t>
      </w:r>
      <w:r>
        <w:rPr>
          <w:spacing w:val="-5"/>
        </w:rPr>
        <w:t> </w:t>
      </w:r>
      <w:r>
        <w:rPr/>
        <w:t>by</w:t>
      </w:r>
      <w:r>
        <w:rPr>
          <w:spacing w:val="-6"/>
        </w:rPr>
        <w:t> </w:t>
      </w:r>
      <w:r>
        <w:rPr/>
        <w:t>the</w:t>
      </w:r>
      <w:r>
        <w:rPr>
          <w:spacing w:val="-5"/>
        </w:rPr>
        <w:t> </w:t>
      </w:r>
      <w:r>
        <w:rPr/>
        <w:t>Marshall</w:t>
      </w:r>
      <w:r>
        <w:rPr>
          <w:spacing w:val="-3"/>
        </w:rPr>
        <w:t> </w:t>
      </w:r>
      <w:r>
        <w:rPr/>
        <w:t>Commission</w:t>
      </w:r>
      <w:r>
        <w:rPr>
          <w:spacing w:val="-5"/>
        </w:rPr>
        <w:t> </w:t>
      </w:r>
      <w:r>
        <w:rPr/>
        <w:t>in</w:t>
      </w:r>
      <w:r>
        <w:rPr>
          <w:spacing w:val="-4"/>
        </w:rPr>
        <w:t> </w:t>
      </w:r>
      <w:r>
        <w:rPr/>
        <w:t>line</w:t>
      </w:r>
      <w:r>
        <w:rPr>
          <w:spacing w:val="-7"/>
        </w:rPr>
        <w:t> </w:t>
      </w:r>
      <w:r>
        <w:rPr/>
        <w:t>with</w:t>
      </w:r>
      <w:r>
        <w:rPr>
          <w:spacing w:val="-5"/>
        </w:rPr>
        <w:t> </w:t>
      </w:r>
      <w:r>
        <w:rPr/>
        <w:t>our</w:t>
      </w:r>
      <w:r>
        <w:rPr>
          <w:spacing w:val="-6"/>
        </w:rPr>
        <w:t> </w:t>
      </w:r>
      <w:r>
        <w:rPr/>
        <w:t>Complaints</w:t>
      </w:r>
      <w:r>
        <w:rPr>
          <w:spacing w:val="-5"/>
        </w:rPr>
        <w:t> </w:t>
      </w:r>
      <w:r>
        <w:rPr/>
        <w:t>Policy</w:t>
      </w:r>
      <w:r>
        <w:rPr>
          <w:spacing w:val="-5"/>
        </w:rPr>
        <w:t> </w:t>
      </w:r>
      <w:r>
        <w:rPr/>
        <w:t>found</w:t>
      </w:r>
      <w:r>
        <w:rPr>
          <w:spacing w:val="-5"/>
        </w:rPr>
        <w:t> </w:t>
      </w:r>
      <w:r>
        <w:rPr/>
        <w:t>on</w:t>
      </w:r>
      <w:r>
        <w:rPr>
          <w:spacing w:val="-7"/>
        </w:rPr>
        <w:t> </w:t>
      </w:r>
      <w:r>
        <w:rPr/>
        <w:t>our </w:t>
      </w:r>
      <w:hyperlink r:id="rId15">
        <w:r>
          <w:rPr>
            <w:color w:val="0000FF"/>
            <w:u w:val="single" w:color="0000FF"/>
          </w:rPr>
          <w:t>website</w:t>
        </w:r>
        <w:r>
          <w:rPr>
            <w:u w:val="none"/>
          </w:rPr>
          <w:t>.</w:t>
        </w:r>
      </w:hyperlink>
      <w:r>
        <w:rPr>
          <w:spacing w:val="-4"/>
          <w:u w:val="none"/>
        </w:rPr>
        <w:t> </w:t>
      </w:r>
      <w:r>
        <w:rPr>
          <w:u w:val="none"/>
        </w:rPr>
        <w:t>Your</w:t>
      </w:r>
      <w:r>
        <w:rPr>
          <w:spacing w:val="-3"/>
          <w:u w:val="none"/>
        </w:rPr>
        <w:t> </w:t>
      </w:r>
      <w:r>
        <w:rPr>
          <w:u w:val="none"/>
        </w:rPr>
        <w:t>award</w:t>
      </w:r>
      <w:r>
        <w:rPr>
          <w:spacing w:val="-2"/>
          <w:u w:val="none"/>
        </w:rPr>
        <w:t> </w:t>
      </w:r>
      <w:r>
        <w:rPr>
          <w:u w:val="none"/>
        </w:rPr>
        <w:t>may</w:t>
      </w:r>
      <w:r>
        <w:rPr>
          <w:spacing w:val="-5"/>
          <w:u w:val="none"/>
        </w:rPr>
        <w:t> </w:t>
      </w:r>
      <w:r>
        <w:rPr>
          <w:u w:val="none"/>
        </w:rPr>
        <w:t>be terminated at any time for reasons of unsatisfactory conduct, progress, or attendance, or if your registration is suspended</w:t>
      </w:r>
      <w:r>
        <w:rPr>
          <w:spacing w:val="-6"/>
          <w:u w:val="none"/>
        </w:rPr>
        <w:t> </w:t>
      </w:r>
      <w:r>
        <w:rPr>
          <w:u w:val="none"/>
        </w:rPr>
        <w:t>or</w:t>
      </w:r>
      <w:r>
        <w:rPr>
          <w:spacing w:val="-7"/>
          <w:u w:val="none"/>
        </w:rPr>
        <w:t> </w:t>
      </w:r>
      <w:r>
        <w:rPr>
          <w:u w:val="none"/>
        </w:rPr>
        <w:t>terminated</w:t>
      </w:r>
      <w:r>
        <w:rPr>
          <w:spacing w:val="-6"/>
          <w:u w:val="none"/>
        </w:rPr>
        <w:t> </w:t>
      </w:r>
      <w:r>
        <w:rPr>
          <w:u w:val="none"/>
        </w:rPr>
        <w:t>by</w:t>
      </w:r>
      <w:r>
        <w:rPr>
          <w:spacing w:val="-7"/>
          <w:u w:val="none"/>
        </w:rPr>
        <w:t> </w:t>
      </w:r>
      <w:r>
        <w:rPr>
          <w:u w:val="none"/>
        </w:rPr>
        <w:t>your</w:t>
      </w:r>
      <w:r>
        <w:rPr>
          <w:spacing w:val="-7"/>
          <w:u w:val="none"/>
        </w:rPr>
        <w:t> </w:t>
      </w:r>
      <w:r>
        <w:rPr>
          <w:u w:val="none"/>
        </w:rPr>
        <w:t>university</w:t>
      </w:r>
      <w:r>
        <w:rPr>
          <w:spacing w:val="-4"/>
          <w:u w:val="none"/>
        </w:rPr>
        <w:t> </w:t>
      </w:r>
      <w:r>
        <w:rPr>
          <w:u w:val="none"/>
        </w:rPr>
        <w:t>for</w:t>
      </w:r>
      <w:r>
        <w:rPr>
          <w:spacing w:val="-7"/>
          <w:u w:val="none"/>
        </w:rPr>
        <w:t> </w:t>
      </w:r>
      <w:r>
        <w:rPr>
          <w:u w:val="none"/>
        </w:rPr>
        <w:t>any</w:t>
      </w:r>
      <w:r>
        <w:rPr>
          <w:spacing w:val="-7"/>
          <w:u w:val="none"/>
        </w:rPr>
        <w:t> </w:t>
      </w:r>
      <w:r>
        <w:rPr>
          <w:u w:val="none"/>
        </w:rPr>
        <w:t>reason.</w:t>
      </w:r>
      <w:r>
        <w:rPr>
          <w:spacing w:val="-2"/>
          <w:u w:val="none"/>
        </w:rPr>
        <w:t> </w:t>
      </w:r>
      <w:r>
        <w:rPr>
          <w:u w:val="none"/>
        </w:rPr>
        <w:t>The</w:t>
      </w:r>
      <w:r>
        <w:rPr>
          <w:spacing w:val="-8"/>
          <w:u w:val="none"/>
        </w:rPr>
        <w:t> </w:t>
      </w:r>
      <w:r>
        <w:rPr>
          <w:u w:val="none"/>
        </w:rPr>
        <w:t>Code</w:t>
      </w:r>
      <w:r>
        <w:rPr>
          <w:spacing w:val="-6"/>
          <w:u w:val="none"/>
        </w:rPr>
        <w:t> </w:t>
      </w:r>
      <w:r>
        <w:rPr>
          <w:u w:val="none"/>
        </w:rPr>
        <w:t>of</w:t>
      </w:r>
      <w:r>
        <w:rPr>
          <w:spacing w:val="-6"/>
          <w:u w:val="none"/>
        </w:rPr>
        <w:t> </w:t>
      </w:r>
      <w:r>
        <w:rPr>
          <w:u w:val="none"/>
        </w:rPr>
        <w:t>Conduct</w:t>
      </w:r>
      <w:r>
        <w:rPr>
          <w:spacing w:val="-8"/>
          <w:u w:val="none"/>
        </w:rPr>
        <w:t> </w:t>
      </w:r>
      <w:r>
        <w:rPr>
          <w:u w:val="none"/>
        </w:rPr>
        <w:t>is</w:t>
      </w:r>
      <w:r>
        <w:rPr>
          <w:spacing w:val="-7"/>
          <w:u w:val="none"/>
        </w:rPr>
        <w:t> </w:t>
      </w:r>
      <w:r>
        <w:rPr>
          <w:u w:val="none"/>
        </w:rPr>
        <w:t>reviewed</w:t>
      </w:r>
      <w:r>
        <w:rPr>
          <w:spacing w:val="-4"/>
          <w:u w:val="none"/>
        </w:rPr>
        <w:t> </w:t>
      </w:r>
      <w:r>
        <w:rPr>
          <w:u w:val="none"/>
        </w:rPr>
        <w:t>regularly,</w:t>
      </w:r>
      <w:r>
        <w:rPr>
          <w:spacing w:val="-4"/>
          <w:u w:val="none"/>
        </w:rPr>
        <w:t> </w:t>
      </w:r>
      <w:r>
        <w:rPr>
          <w:u w:val="none"/>
        </w:rPr>
        <w:t>and</w:t>
      </w:r>
      <w:r>
        <w:rPr>
          <w:spacing w:val="-8"/>
          <w:u w:val="none"/>
        </w:rPr>
        <w:t> </w:t>
      </w:r>
      <w:r>
        <w:rPr>
          <w:u w:val="none"/>
        </w:rPr>
        <w:t>updated versions will be added to the website. Scholars will be expected to adhere to any updates during the tenure of their </w:t>
      </w:r>
      <w:r>
        <w:rPr>
          <w:spacing w:val="-2"/>
          <w:u w:val="none"/>
        </w:rPr>
        <w:t>award.</w:t>
      </w:r>
    </w:p>
    <w:p>
      <w:pPr>
        <w:spacing w:before="228"/>
        <w:ind w:left="140" w:right="0" w:firstLine="0"/>
        <w:jc w:val="both"/>
        <w:rPr>
          <w:b/>
          <w:sz w:val="18"/>
        </w:rPr>
      </w:pPr>
      <w:r>
        <w:rPr>
          <w:b/>
          <w:sz w:val="18"/>
        </w:rPr>
        <w:t>All</w:t>
      </w:r>
      <w:r>
        <w:rPr>
          <w:b/>
          <w:spacing w:val="-2"/>
          <w:sz w:val="18"/>
        </w:rPr>
        <w:t> </w:t>
      </w:r>
      <w:r>
        <w:rPr>
          <w:b/>
          <w:sz w:val="18"/>
        </w:rPr>
        <w:t>Scholars</w:t>
      </w:r>
      <w:r>
        <w:rPr>
          <w:b/>
          <w:spacing w:val="-4"/>
          <w:sz w:val="18"/>
        </w:rPr>
        <w:t> </w:t>
      </w:r>
      <w:r>
        <w:rPr>
          <w:b/>
          <w:sz w:val="18"/>
        </w:rPr>
        <w:t>must</w:t>
      </w:r>
      <w:r>
        <w:rPr>
          <w:b/>
          <w:spacing w:val="-3"/>
          <w:sz w:val="18"/>
        </w:rPr>
        <w:t> </w:t>
      </w:r>
      <w:r>
        <w:rPr>
          <w:b/>
          <w:sz w:val="18"/>
        </w:rPr>
        <w:t>sign</w:t>
      </w:r>
      <w:r>
        <w:rPr>
          <w:b/>
          <w:spacing w:val="-3"/>
          <w:sz w:val="18"/>
        </w:rPr>
        <w:t> </w:t>
      </w:r>
      <w:r>
        <w:rPr>
          <w:b/>
          <w:spacing w:val="-2"/>
          <w:sz w:val="18"/>
        </w:rPr>
        <w:t>below:</w:t>
      </w:r>
    </w:p>
    <w:p>
      <w:pPr>
        <w:pStyle w:val="BodyText"/>
        <w:spacing w:before="4"/>
        <w:rPr>
          <w:b/>
          <w:sz w:val="18"/>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35"/>
      </w:tblGrid>
      <w:tr>
        <w:trPr>
          <w:trHeight w:val="244" w:hRule="atLeast"/>
        </w:trPr>
        <w:tc>
          <w:tcPr>
            <w:tcW w:w="10435" w:type="dxa"/>
          </w:tcPr>
          <w:p>
            <w:pPr>
              <w:pStyle w:val="TableParagraph"/>
              <w:tabs>
                <w:tab w:pos="5153" w:val="left" w:leader="none"/>
              </w:tabs>
              <w:rPr>
                <w:b/>
                <w:sz w:val="18"/>
              </w:rPr>
            </w:pPr>
            <w:r>
              <w:rPr>
                <w:b/>
                <w:spacing w:val="-2"/>
                <w:sz w:val="18"/>
              </w:rPr>
              <w:t>Name:</w:t>
            </w:r>
            <w:r>
              <w:rPr>
                <w:b/>
                <w:sz w:val="18"/>
              </w:rPr>
              <w:tab/>
            </w:r>
            <w:r>
              <w:rPr>
                <w:b/>
                <w:spacing w:val="-2"/>
                <w:sz w:val="18"/>
              </w:rPr>
              <w:t>Signature:</w:t>
            </w:r>
          </w:p>
        </w:tc>
      </w:tr>
      <w:tr>
        <w:trPr>
          <w:trHeight w:val="247" w:hRule="atLeast"/>
        </w:trPr>
        <w:tc>
          <w:tcPr>
            <w:tcW w:w="10435" w:type="dxa"/>
          </w:tcPr>
          <w:p>
            <w:pPr>
              <w:pStyle w:val="TableParagraph"/>
              <w:spacing w:line="207" w:lineRule="exact" w:before="20"/>
              <w:rPr>
                <w:sz w:val="18"/>
              </w:rPr>
            </w:pPr>
            <w:r>
              <w:rPr>
                <w:b/>
                <w:spacing w:val="-2"/>
                <w:sz w:val="18"/>
              </w:rPr>
              <w:t>Date</w:t>
            </w:r>
            <w:r>
              <w:rPr>
                <w:spacing w:val="-2"/>
                <w:sz w:val="18"/>
              </w:rPr>
              <w:t>:</w:t>
            </w:r>
          </w:p>
        </w:tc>
      </w:tr>
    </w:tbl>
    <w:sectPr>
      <w:footerReference w:type="default" r:id="rId5"/>
      <w:type w:val="continuous"/>
      <w:pgSz w:w="11910" w:h="16850"/>
      <w:pgMar w:header="0" w:footer="969" w:top="720" w:bottom="1160" w:left="992" w:right="425"/>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51488">
              <wp:simplePos x="0" y="0"/>
              <wp:positionH relativeFrom="page">
                <wp:posOffset>7125461</wp:posOffset>
              </wp:positionH>
              <wp:positionV relativeFrom="page">
                <wp:posOffset>9939077</wp:posOffset>
              </wp:positionV>
              <wp:extent cx="889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8900" cy="165735"/>
                      </a:xfrm>
                      <a:prstGeom prst="rect">
                        <a:avLst/>
                      </a:prstGeom>
                    </wps:spPr>
                    <wps:txbx>
                      <w:txbxContent>
                        <w:p>
                          <w:pPr>
                            <w:pStyle w:val="BodyText"/>
                            <w:spacing w:before="10"/>
                            <w:ind w:left="20"/>
                            <w:rPr>
                              <w:rFonts w:ascii="Times New Roman"/>
                            </w:rPr>
                          </w:pPr>
                          <w:r>
                            <w:rPr>
                              <w:rFonts w:ascii="Times New Roman"/>
                              <w:spacing w:val="-1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1.059998pt;margin-top:782.604492pt;width:7pt;height:13.05pt;mso-position-horizontal-relative:page;mso-position-vertical-relative:page;z-index:-15764992" type="#_x0000_t202" id="docshape1" filled="false" stroked="false">
              <v:textbox inset="0,0,0,0">
                <w:txbxContent>
                  <w:p>
                    <w:pPr>
                      <w:pStyle w:val="BodyText"/>
                      <w:spacing w:before="10"/>
                      <w:ind w:left="20"/>
                      <w:rPr>
                        <w:rFonts w:ascii="Times New Roman"/>
                      </w:rPr>
                    </w:pPr>
                    <w:r>
                      <w:rPr>
                        <w:rFonts w:ascii="Times New Roman"/>
                        <w:spacing w:val="-10"/>
                      </w:rPr>
                      <w:t>1</w:t>
                    </w:r>
                  </w:p>
                </w:txbxContent>
              </v:textbox>
              <w10:wrap type="none"/>
            </v:shape>
          </w:pict>
        </mc:Fallback>
      </mc:AlternateContent>
    </w:r>
    <w:r>
      <w:rPr/>
      <mc:AlternateContent>
        <mc:Choice Requires="wps">
          <w:drawing>
            <wp:anchor distT="0" distB="0" distL="0" distR="0" allowOverlap="1" layoutInCell="1" locked="0" behindDoc="1" simplePos="0" relativeHeight="487552000">
              <wp:simplePos x="0" y="0"/>
              <wp:positionH relativeFrom="page">
                <wp:posOffset>706627</wp:posOffset>
              </wp:positionH>
              <wp:positionV relativeFrom="page">
                <wp:posOffset>10085381</wp:posOffset>
              </wp:positionV>
              <wp:extent cx="148463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84630" cy="165735"/>
                      </a:xfrm>
                      <a:prstGeom prst="rect">
                        <a:avLst/>
                      </a:prstGeom>
                    </wps:spPr>
                    <wps:txbx>
                      <w:txbxContent>
                        <w:p>
                          <w:pPr>
                            <w:pStyle w:val="BodyText"/>
                            <w:spacing w:before="10"/>
                            <w:ind w:left="20"/>
                            <w:rPr>
                              <w:rFonts w:ascii="Times New Roman"/>
                            </w:rPr>
                          </w:pPr>
                          <w:r>
                            <w:rPr>
                              <w:rFonts w:ascii="Times New Roman"/>
                            </w:rPr>
                            <w:t>Last</w:t>
                          </w:r>
                          <w:r>
                            <w:rPr>
                              <w:rFonts w:ascii="Times New Roman"/>
                              <w:spacing w:val="-7"/>
                            </w:rPr>
                            <w:t> </w:t>
                          </w:r>
                          <w:r>
                            <w:rPr>
                              <w:rFonts w:ascii="Times New Roman"/>
                            </w:rPr>
                            <w:t>reviewed:</w:t>
                          </w:r>
                          <w:r>
                            <w:rPr>
                              <w:rFonts w:ascii="Times New Roman"/>
                              <w:spacing w:val="-5"/>
                            </w:rPr>
                            <w:t> </w:t>
                          </w:r>
                          <w:r>
                            <w:rPr>
                              <w:rFonts w:ascii="Times New Roman"/>
                            </w:rPr>
                            <w:t>January</w:t>
                          </w:r>
                          <w:r>
                            <w:rPr>
                              <w:rFonts w:ascii="Times New Roman"/>
                              <w:spacing w:val="-7"/>
                            </w:rPr>
                            <w:t> </w:t>
                          </w:r>
                          <w:r>
                            <w:rPr>
                              <w:rFonts w:ascii="Times New Roman"/>
                              <w:spacing w:val="-4"/>
                            </w:rPr>
                            <w:t>2026</w:t>
                          </w:r>
                        </w:p>
                      </w:txbxContent>
                    </wps:txbx>
                    <wps:bodyPr wrap="square" lIns="0" tIns="0" rIns="0" bIns="0" rtlCol="0">
                      <a:noAutofit/>
                    </wps:bodyPr>
                  </wps:wsp>
                </a:graphicData>
              </a:graphic>
            </wp:anchor>
          </w:drawing>
        </mc:Choice>
        <mc:Fallback>
          <w:pict>
            <v:shape style="position:absolute;margin-left:55.639999pt;margin-top:794.124512pt;width:116.9pt;height:13.05pt;mso-position-horizontal-relative:page;mso-position-vertical-relative:page;z-index:-15764480" type="#_x0000_t202" id="docshape2" filled="false" stroked="false">
              <v:textbox inset="0,0,0,0">
                <w:txbxContent>
                  <w:p>
                    <w:pPr>
                      <w:pStyle w:val="BodyText"/>
                      <w:spacing w:before="10"/>
                      <w:ind w:left="20"/>
                      <w:rPr>
                        <w:rFonts w:ascii="Times New Roman"/>
                      </w:rPr>
                    </w:pPr>
                    <w:r>
                      <w:rPr>
                        <w:rFonts w:ascii="Times New Roman"/>
                      </w:rPr>
                      <w:t>Last</w:t>
                    </w:r>
                    <w:r>
                      <w:rPr>
                        <w:rFonts w:ascii="Times New Roman"/>
                        <w:spacing w:val="-7"/>
                      </w:rPr>
                      <w:t> </w:t>
                    </w:r>
                    <w:r>
                      <w:rPr>
                        <w:rFonts w:ascii="Times New Roman"/>
                      </w:rPr>
                      <w:t>reviewed:</w:t>
                    </w:r>
                    <w:r>
                      <w:rPr>
                        <w:rFonts w:ascii="Times New Roman"/>
                        <w:spacing w:val="-5"/>
                      </w:rPr>
                      <w:t> </w:t>
                    </w:r>
                    <w:r>
                      <w:rPr>
                        <w:rFonts w:ascii="Times New Roman"/>
                      </w:rPr>
                      <w:t>January</w:t>
                    </w:r>
                    <w:r>
                      <w:rPr>
                        <w:rFonts w:ascii="Times New Roman"/>
                        <w:spacing w:val="-7"/>
                      </w:rPr>
                      <w:t> </w:t>
                    </w:r>
                    <w:r>
                      <w:rPr>
                        <w:rFonts w:ascii="Times New Roman"/>
                        <w:spacing w:val="-4"/>
                      </w:rPr>
                      <w:t>2026</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1"/>
      <w:ind w:left="140" w:right="6260"/>
      <w:jc w:val="both"/>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8" w:line="206" w:lineRule="exact"/>
      <w:ind w:left="11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gbr01.safelinks.protection.outlook.com/?url=https%3A%2F%2Fwww.legislation.gov.uk%2Fukpga%2F2010%2F15%2Fcontents&amp;data=05%7C02%7CHaley.Addison%40marshallscholarship.org%7C6298ad4999cc40425ea808ddadb207b2%7C790eb007c219420485617d55770a05bf%7C0%7C0%7C638857702340270912%7CUnknown%7CTWFpbGZsb3d8eyJFbXB0eU1hcGkiOnRydWUsIlYiOiIwLjAuMDAwMCIsIlAiOiJXaW4zMiIsIkFOIjoiTWFpbCIsIldUIjoyfQ%3D%3D%7C0%7C%7C%7C&amp;sdata=VlSH48YplEeUuUXSR0J32Kh1rlpe5l3SoYaiVSER4BU%3D&amp;reserved=0" TargetMode="External"/><Relationship Id="rId8" Type="http://schemas.openxmlformats.org/officeDocument/2006/relationships/hyperlink" Target="https://www.gov.uk/government/publications/the-future-of-the-higher-education-freedom-of-speech-act-2023" TargetMode="External"/><Relationship Id="rId9" Type="http://schemas.openxmlformats.org/officeDocument/2006/relationships/hyperlink" Target="https://www.officeforstudents.org.uk/about/how-we-are-run/equality-and-diversity/what-does-the-law-say/" TargetMode="External"/><Relationship Id="rId10" Type="http://schemas.openxmlformats.org/officeDocument/2006/relationships/hyperlink" Target="https://www.officeforstudents.org.uk/for-providers/freedom-of-speech/" TargetMode="External"/><Relationship Id="rId11" Type="http://schemas.openxmlformats.org/officeDocument/2006/relationships/hyperlink" Target="https://www.marshallscholarship.org/media/2376/macc-scholar-disciplinary-policy_update-jan2022.pdf" TargetMode="External"/><Relationship Id="rId12" Type="http://schemas.openxmlformats.org/officeDocument/2006/relationships/hyperlink" Target="https://www.marshallscholarship.org/media/2382/macc-social-media-policy.pdf" TargetMode="External"/><Relationship Id="rId13" Type="http://schemas.openxmlformats.org/officeDocument/2006/relationships/hyperlink" Target="https://www.marshallscholarship.org/media/2249/macc-safeguarding-policy-january-2024.pdf" TargetMode="External"/><Relationship Id="rId14" Type="http://schemas.openxmlformats.org/officeDocument/2006/relationships/hyperlink" Target="https://www.marshallscholarship.org/media/2628/macc-counter-fraud-and-bribery-january-2024.pdf" TargetMode="External"/><Relationship Id="rId15" Type="http://schemas.openxmlformats.org/officeDocument/2006/relationships/hyperlink" Target="https://www.marshallscholarship.org/media/2307/macc-complaints-policy-january-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Berke, Stephanie (Marshall)</dc:creator>
  <dcterms:created xsi:type="dcterms:W3CDTF">2026-03-05T13:31:03Z</dcterms:created>
  <dcterms:modified xsi:type="dcterms:W3CDTF">2026-03-05T13:31:03Z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for Microsoft 365</vt:lpwstr>
  </property>
  <property fmtid="{D5CDD505-2E9C-101B-9397-08002B2CF9AE}" pid="4" name="LastSaved">
    <vt:filetime>2026-03-05T00:00:00Z</vt:filetime>
  </property>
  <property fmtid="{D5CDD505-2E9C-101B-9397-08002B2CF9AE}" pid="5" name="Producer">
    <vt:lpwstr>Microsoft® Word for Microsoft 365</vt:lpwstr>
  </property>
</Properties>
</file>